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74" w:rsidRDefault="00621E74" w:rsidP="00621E74">
      <w:pPr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"http://base.garant.ru/10900200/" </w:instrText>
      </w:r>
      <w:r>
        <w:fldChar w:fldCharType="separate"/>
      </w:r>
      <w:r>
        <w:rPr>
          <w:rStyle w:val="a3"/>
          <w:rFonts w:ascii="Arial" w:hAnsi="Arial" w:cs="Arial"/>
          <w:color w:val="26579A"/>
          <w:sz w:val="27"/>
          <w:szCs w:val="27"/>
        </w:rPr>
        <w:t>Налоговый кодекс Российской Федерации (НК РФ)</w:t>
      </w:r>
      <w:r>
        <w:fldChar w:fldCharType="end"/>
      </w:r>
    </w:p>
    <w:p w:rsidR="00621E74" w:rsidRDefault="00621E74" w:rsidP="00621E7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вторая</w:t>
      </w:r>
    </w:p>
    <w:p w:rsidR="00621E74" w:rsidRDefault="00621E74" w:rsidP="00621E7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здел VIII. Федеральные налоги</w:t>
      </w:r>
    </w:p>
    <w:p w:rsidR="004F4213" w:rsidRDefault="00621E74" w:rsidP="00621E7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25.3. Государственная пошлина</w:t>
      </w:r>
    </w:p>
    <w:p w:rsidR="00621E74" w:rsidRDefault="00621E74" w:rsidP="00621E7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21E74" w:rsidRPr="00621E74" w:rsidRDefault="00621E74" w:rsidP="00621E74">
      <w:pPr>
        <w:pStyle w:val="s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21E74">
        <w:rPr>
          <w:rStyle w:val="s10"/>
          <w:rFonts w:ascii="Arial" w:eastAsiaTheme="majorEastAsia" w:hAnsi="Arial" w:cs="Arial"/>
          <w:b/>
          <w:bCs/>
          <w:color w:val="000080"/>
          <w:sz w:val="18"/>
          <w:szCs w:val="18"/>
        </w:rPr>
        <w:t>Статья 333.19.</w:t>
      </w:r>
      <w:r w:rsidRPr="00621E74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 </w:t>
      </w:r>
      <w:r w:rsidRPr="00621E74">
        <w:rPr>
          <w:rFonts w:ascii="Arial" w:hAnsi="Arial" w:cs="Arial"/>
          <w:b/>
          <w:color w:val="000000"/>
          <w:sz w:val="18"/>
          <w:szCs w:val="18"/>
        </w:rPr>
        <w:t>Размеры государственной пошлины по делам, рассматриваемым Верховным Судом Российской Федерации, судами общей юрисдикции, мировыми судьями</w:t>
      </w:r>
    </w:p>
    <w:p w:rsidR="00621E74" w:rsidRDefault="00621E74" w:rsidP="00621E74">
      <w:pPr>
        <w:pStyle w:val="s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По делам, рассматриваемым Верховным Судом Российской Федерации в соответствии 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гражданским процессуальным законодательством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Российской Федерации, судами общей юрисдикции, мировыми судьями, государственная пошлина уплачивается в следующих размерах: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при подаче искового заявления имущественного характера, подлежащего оценке, при цене иска: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 20 000 рублей - 4 процента цены иска, но не менее 400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20 001 рубля до 100 000 рублей - 800 рублей плюс 3 процента суммы, превышающей 20 000 рублей;</w:t>
      </w:r>
      <w:bookmarkStart w:id="0" w:name="_GoBack"/>
      <w:bookmarkEnd w:id="0"/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100 001 рубля до 200 000 рублей - 3 200 рублей плюс 2 процента суммы, превышающей 100 000 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200 001 рубля до 1 000 000 рублей - 5 200 рублей плюс 1 процент суммы, превышающей 200 000 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свыше 1 000 000 рублей - 13 200 рублей плюс 0,5 процента суммы, превышающей 1 000 000 рублей, но не более 60 000 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при подаче заявления о вынесении судебного приказа - 50 процентов размера государственной пошлины, взимаемой при подаче искового заявления имущественного характера;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при подаче искового заявления имущественного характера, не подлежащего оценке, а также искового заявления неимущественного характера: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физических лиц - 300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организаций - 6 000 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4)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 подаче надзорной жалобы - в размере государственной пошлины, уплачиваемой при подаче искового заявления неимущественного характера;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5)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 подаче искового заявления о расторжении брака - 600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6) при подаче заявления об оспаривании (полностью или частично) нормативных правовых актов (нормативных актов) государственных органов, Центрального банка Российской Федерации, государственных внебюджетных фондов, органов местного самоуправления, государственных корпораций, должностных лиц, а также заявления об оспаривании ненормативных правовых актов Президента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Правительства Российской Федерации, Правительственной комиссии по контролю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 осуществлением иностранных инвестиций в Российской Федерации: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физических лиц - 300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организаций - 4 500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7) при подаче заявления о признании ненормативного правового акта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незаконными: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физических лиц - 300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организаций - 2 000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 при подаче заявления по делам особого производства - 300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9) при подаче апелляционной жалобы и (или) кассационной жалобы - 50 процентов размера государственной пошлины, подлежащей уплате при подаче искового заявления неимущественного характера;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8" w:anchor="block_284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не применяется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 1 января 2013 г.;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11) при подаче заявления о выдаче исполнительных листов на принудительное исполнение решений третейского суда - 2 250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12) при подаче заявления об обеспечении иска, рассматриваемого в третейском суде, - 300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13) при подаче заявления об отмене решения третейского суда - 2 250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14) при подаче заявления по делам о взыскании алиментов - 150 рублей. Если судом выносится решение о взыскании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алиментов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 на содержание детей, так и на содержание истца, размер государственной пошлины увеличивается в два раза;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15)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срок: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физических лиц - 300 рублей;</w:t>
      </w:r>
    </w:p>
    <w:p w:rsid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организаций - 6 000 рублей.</w:t>
      </w:r>
    </w:p>
    <w:p w:rsidR="00621E74" w:rsidRPr="00621E74" w:rsidRDefault="00621E74" w:rsidP="00621E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Положения настоящей статьи применяются с учетом положений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9" w:anchor="block_33320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статьи 333.20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настоящего Кодекса.</w:t>
      </w:r>
    </w:p>
    <w:sectPr w:rsidR="00621E74" w:rsidRPr="0062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1FEB"/>
    <w:rsid w:val="000520EA"/>
    <w:rsid w:val="00091AB8"/>
    <w:rsid w:val="000C1CFD"/>
    <w:rsid w:val="000C35BC"/>
    <w:rsid w:val="000D1E7F"/>
    <w:rsid w:val="00100AAF"/>
    <w:rsid w:val="0010204B"/>
    <w:rsid w:val="001064F8"/>
    <w:rsid w:val="00121BC5"/>
    <w:rsid w:val="001946DB"/>
    <w:rsid w:val="001F5320"/>
    <w:rsid w:val="001F7A80"/>
    <w:rsid w:val="00235B48"/>
    <w:rsid w:val="002E75DC"/>
    <w:rsid w:val="002F2249"/>
    <w:rsid w:val="003076BF"/>
    <w:rsid w:val="00310E98"/>
    <w:rsid w:val="0047419A"/>
    <w:rsid w:val="0048556E"/>
    <w:rsid w:val="004A4388"/>
    <w:rsid w:val="004F1D75"/>
    <w:rsid w:val="004F4213"/>
    <w:rsid w:val="00551B4E"/>
    <w:rsid w:val="00584498"/>
    <w:rsid w:val="005D4F5F"/>
    <w:rsid w:val="005D7B37"/>
    <w:rsid w:val="00602E85"/>
    <w:rsid w:val="00621E74"/>
    <w:rsid w:val="0064701D"/>
    <w:rsid w:val="00683600"/>
    <w:rsid w:val="00686323"/>
    <w:rsid w:val="006B798F"/>
    <w:rsid w:val="00706A08"/>
    <w:rsid w:val="00714FC2"/>
    <w:rsid w:val="00766F45"/>
    <w:rsid w:val="00797082"/>
    <w:rsid w:val="007D341D"/>
    <w:rsid w:val="007D46BB"/>
    <w:rsid w:val="0088205D"/>
    <w:rsid w:val="008B10CD"/>
    <w:rsid w:val="008C34EC"/>
    <w:rsid w:val="0099525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BF5103"/>
    <w:rsid w:val="00C27319"/>
    <w:rsid w:val="00C61CCE"/>
    <w:rsid w:val="00CD5972"/>
    <w:rsid w:val="00D20C4E"/>
    <w:rsid w:val="00D42CAC"/>
    <w:rsid w:val="00D659C3"/>
    <w:rsid w:val="00D93D28"/>
    <w:rsid w:val="00D9533F"/>
    <w:rsid w:val="00E13D63"/>
    <w:rsid w:val="00E1422C"/>
    <w:rsid w:val="00E46655"/>
    <w:rsid w:val="00E747BA"/>
    <w:rsid w:val="00E96DA0"/>
    <w:rsid w:val="00EA3B21"/>
    <w:rsid w:val="00EA5A47"/>
    <w:rsid w:val="00F41A4A"/>
    <w:rsid w:val="00F501D7"/>
    <w:rsid w:val="00F77EFA"/>
    <w:rsid w:val="00FB0756"/>
    <w:rsid w:val="00FB265D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1E74"/>
  </w:style>
  <w:style w:type="paragraph" w:customStyle="1" w:styleId="s9">
    <w:name w:val="s_9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1E74"/>
  </w:style>
  <w:style w:type="paragraph" w:customStyle="1" w:styleId="s9">
    <w:name w:val="s_9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19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1327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5589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880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2015-04-13T13:50:00Z</dcterms:created>
  <dcterms:modified xsi:type="dcterms:W3CDTF">2015-04-13T13:50:00Z</dcterms:modified>
</cp:coreProperties>
</file>